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A07737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645C">
                              <w:rPr>
                                <w:sz w:val="24"/>
                                <w:szCs w:val="24"/>
                              </w:rPr>
                              <w:t>5983</w:t>
                            </w:r>
                            <w:r w:rsidR="00EB11E1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A07737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645C">
                        <w:rPr>
                          <w:sz w:val="24"/>
                          <w:szCs w:val="24"/>
                        </w:rPr>
                        <w:t>5983</w:t>
                      </w:r>
                      <w:r w:rsidR="00EB11E1">
                        <w:rPr>
                          <w:sz w:val="24"/>
                          <w:szCs w:val="24"/>
                        </w:rPr>
                        <w:t>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8D3BBC">
        <w:tc>
          <w:tcPr>
            <w:tcW w:w="726" w:type="dxa"/>
          </w:tcPr>
          <w:p w14:paraId="190C8C29" w14:textId="5F7804C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B0E330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2E4DE49" w:rsidR="000F7201" w:rsidRPr="00CB5CBE" w:rsidRDefault="00DE6DC0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48" w:type="dxa"/>
            <w:vAlign w:val="center"/>
          </w:tcPr>
          <w:p w14:paraId="327B819A" w14:textId="20E5DA7E" w:rsidR="000F7201" w:rsidRPr="004E3F87" w:rsidRDefault="00DE6DC0" w:rsidP="000640EB">
            <w:pPr>
              <w:rPr>
                <w:rFonts w:ascii="Arial" w:hAnsi="Arial" w:cs="Arial"/>
                <w:color w:val="000000"/>
              </w:rPr>
            </w:pPr>
            <w:r w:rsidRPr="00FF2B63">
              <w:rPr>
                <w:rFonts w:ascii="Arial" w:hAnsi="Arial" w:cs="Arial"/>
                <w:szCs w:val="24"/>
              </w:rPr>
              <w:t xml:space="preserve">Carrinho de carga e descarga com capacidade de até </w:t>
            </w:r>
            <w:r w:rsidRPr="00FF2B63">
              <w:rPr>
                <w:rStyle w:val="Forte"/>
                <w:rFonts w:ascii="Arial" w:hAnsi="Arial" w:cs="Arial"/>
                <w:szCs w:val="24"/>
              </w:rPr>
              <w:t>250 kg</w:t>
            </w:r>
            <w:r w:rsidRPr="00FF2B63">
              <w:rPr>
                <w:rFonts w:ascii="Arial" w:hAnsi="Arial" w:cs="Arial"/>
                <w:szCs w:val="24"/>
              </w:rPr>
              <w:t xml:space="preserve">, estrutura reforçada em aço para maior durabilidade e segurança. Possui </w:t>
            </w:r>
            <w:r w:rsidRPr="00FF2B63">
              <w:rPr>
                <w:rStyle w:val="Forte"/>
                <w:rFonts w:ascii="Arial" w:hAnsi="Arial" w:cs="Arial"/>
                <w:szCs w:val="24"/>
              </w:rPr>
              <w:t>pneus com câmara de ar</w:t>
            </w:r>
            <w:r w:rsidRPr="00FF2B63">
              <w:rPr>
                <w:rFonts w:ascii="Arial" w:hAnsi="Arial" w:cs="Arial"/>
                <w:szCs w:val="24"/>
              </w:rPr>
              <w:t>, garantindo melhor absorção de impactos e estabilidade em terrenos irregulares. Conta com empunhadura ergonômica, facilitando o manuseio e proporcionando maior conforto ao operador.</w:t>
            </w:r>
          </w:p>
        </w:tc>
        <w:tc>
          <w:tcPr>
            <w:tcW w:w="1394" w:type="dxa"/>
          </w:tcPr>
          <w:p w14:paraId="4727AEFC" w14:textId="797FD9F5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6DC0" w:rsidRPr="00F0771B" w14:paraId="37480BDC" w14:textId="77777777" w:rsidTr="008D3BBC">
        <w:tc>
          <w:tcPr>
            <w:tcW w:w="726" w:type="dxa"/>
          </w:tcPr>
          <w:p w14:paraId="2A5B249D" w14:textId="1142752D" w:rsidR="00DE6DC0" w:rsidRPr="00CB5CBE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4EA5141E" w:rsidR="00DE6DC0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4BA95BDA" w:rsidR="00DE6DC0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48" w:type="dxa"/>
            <w:vAlign w:val="center"/>
          </w:tcPr>
          <w:p w14:paraId="3CC8C116" w14:textId="5A22FDE2" w:rsidR="00DE6DC0" w:rsidRPr="004E3F87" w:rsidRDefault="00DE6DC0" w:rsidP="00DE6DC0">
            <w:pPr>
              <w:rPr>
                <w:rFonts w:ascii="Arial" w:eastAsia="Arial" w:hAnsi="Arial" w:cs="Arial"/>
              </w:rPr>
            </w:pPr>
            <w:r w:rsidRPr="00A95B0C">
              <w:rPr>
                <w:rFonts w:ascii="Arial" w:eastAsia="Times New Roman" w:hAnsi="Arial" w:cs="Arial"/>
                <w:szCs w:val="24"/>
                <w:lang w:eastAsia="pt-BR"/>
              </w:rPr>
              <w:t xml:space="preserve">Jogo de chaves combinadas com 12 peças, com medidas de </w:t>
            </w:r>
            <w:r w:rsidRPr="00E24542">
              <w:rPr>
                <w:rFonts w:ascii="Arial" w:eastAsia="Times New Roman" w:hAnsi="Arial" w:cs="Arial"/>
                <w:bCs/>
                <w:szCs w:val="24"/>
                <w:lang w:eastAsia="pt-BR"/>
              </w:rPr>
              <w:t>6 mm a 32 mm</w:t>
            </w:r>
            <w:r w:rsidRPr="00A95B0C">
              <w:rPr>
                <w:rFonts w:ascii="Arial" w:eastAsia="Times New Roman" w:hAnsi="Arial" w:cs="Arial"/>
                <w:szCs w:val="24"/>
                <w:lang w:eastAsia="pt-BR"/>
              </w:rPr>
              <w:t xml:space="preserve">, fabricadas em aço de alta resistência e acabamento cromado, proporcionando maior durabilidade e resistência à corrosão. As chaves possuem um lado fixo e outro estrela, permitindo maior versatilidade e eficiência no aperto e desaperto de parafusos e porcas em diversas aplicações. O jogo deve ser acondicionado em estojo ou suporte organizador, facilitando o transporte e armazenamento das peças. Marcas de referência: </w:t>
            </w:r>
            <w:proofErr w:type="spellStart"/>
            <w:r w:rsidRPr="00E24542">
              <w:rPr>
                <w:rFonts w:ascii="Arial" w:eastAsia="Times New Roman" w:hAnsi="Arial" w:cs="Arial"/>
                <w:bCs/>
                <w:szCs w:val="24"/>
                <w:lang w:eastAsia="pt-BR"/>
              </w:rPr>
              <w:t>Gedore</w:t>
            </w:r>
            <w:proofErr w:type="spellEnd"/>
            <w:r w:rsidRPr="00E24542">
              <w:rPr>
                <w:rFonts w:ascii="Arial" w:eastAsia="Times New Roman" w:hAnsi="Arial" w:cs="Arial"/>
                <w:bCs/>
                <w:szCs w:val="24"/>
                <w:lang w:eastAsia="pt-BR"/>
              </w:rPr>
              <w:t xml:space="preserve"> </w:t>
            </w:r>
            <w:proofErr w:type="spellStart"/>
            <w:r w:rsidRPr="00E24542">
              <w:rPr>
                <w:rFonts w:ascii="Arial" w:eastAsia="Times New Roman" w:hAnsi="Arial" w:cs="Arial"/>
                <w:bCs/>
                <w:szCs w:val="24"/>
                <w:lang w:eastAsia="pt-BR"/>
              </w:rPr>
              <w:t>Red</w:t>
            </w:r>
            <w:proofErr w:type="spellEnd"/>
            <w:r>
              <w:rPr>
                <w:rFonts w:ascii="Arial" w:eastAsia="Times New Roman" w:hAnsi="Arial" w:cs="Arial"/>
                <w:bCs/>
                <w:szCs w:val="24"/>
                <w:lang w:eastAsia="pt-BR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bCs/>
                <w:szCs w:val="24"/>
                <w:lang w:eastAsia="pt-BR"/>
              </w:rPr>
              <w:t>Robust</w:t>
            </w:r>
            <w:proofErr w:type="spellEnd"/>
            <w:r>
              <w:rPr>
                <w:rFonts w:ascii="Arial" w:eastAsia="Times New Roman" w:hAnsi="Arial" w:cs="Arial"/>
                <w:bCs/>
                <w:szCs w:val="24"/>
                <w:lang w:eastAsia="pt-BR"/>
              </w:rPr>
              <w:t xml:space="preserve"> e </w:t>
            </w:r>
            <w:proofErr w:type="spellStart"/>
            <w:r w:rsidRPr="00E24542">
              <w:rPr>
                <w:rFonts w:ascii="Arial" w:eastAsia="Times New Roman" w:hAnsi="Arial" w:cs="Arial"/>
                <w:bCs/>
                <w:szCs w:val="24"/>
                <w:lang w:eastAsia="pt-BR"/>
              </w:rPr>
              <w:t>Vonder</w:t>
            </w:r>
            <w:proofErr w:type="spellEnd"/>
            <w:r w:rsidRPr="00A95B0C">
              <w:rPr>
                <w:rFonts w:ascii="Arial" w:eastAsia="Times New Roman" w:hAnsi="Arial" w:cs="Arial"/>
                <w:szCs w:val="24"/>
                <w:lang w:eastAsia="pt-BR"/>
              </w:rPr>
              <w:t>, ou similares de qualidade igual ou superior.</w:t>
            </w:r>
          </w:p>
        </w:tc>
        <w:tc>
          <w:tcPr>
            <w:tcW w:w="1394" w:type="dxa"/>
          </w:tcPr>
          <w:p w14:paraId="7CA43E42" w14:textId="77777777" w:rsidR="00DE6DC0" w:rsidRPr="00CB5CBE" w:rsidRDefault="00DE6DC0" w:rsidP="00DE6DC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E6DC0" w:rsidRPr="00CB5CBE" w:rsidRDefault="00DE6DC0" w:rsidP="00DE6DC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6DC0" w:rsidRPr="00F0771B" w14:paraId="43C15C37" w14:textId="77777777" w:rsidTr="008D3BBC">
        <w:tc>
          <w:tcPr>
            <w:tcW w:w="726" w:type="dxa"/>
          </w:tcPr>
          <w:p w14:paraId="0D4DBE55" w14:textId="55CC35C3" w:rsidR="00DE6DC0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  <w:p w14:paraId="4BA69A9D" w14:textId="3F09BDDF" w:rsidR="00DE6DC0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6B7891AF" w:rsidR="00DE6DC0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14C1694F" w:rsidR="00DE6DC0" w:rsidRDefault="00DE6DC0" w:rsidP="00DE6DC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48" w:type="dxa"/>
            <w:vAlign w:val="center"/>
          </w:tcPr>
          <w:p w14:paraId="69F8BCF8" w14:textId="77777777" w:rsidR="00DE6DC0" w:rsidRPr="005A6DE4" w:rsidRDefault="00DE6DC0" w:rsidP="00DE6DC0">
            <w:pPr>
              <w:spacing w:before="120" w:after="120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Parafusadeira e furadeira de impacto, com tensão mínima de </w:t>
            </w: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18V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, </w:t>
            </w: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bivolt automática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ou com carregador bivolt, ideal para trabalhos em madeira, metal, alvenaria e plástico. O equipamento deve ser sem fio (a bateria), proporcionando maior mobilidade e praticidade, e acompanhado de </w:t>
            </w: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maleta resistente com acessórios para transporte e armazenamento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>.</w:t>
            </w:r>
          </w:p>
          <w:p w14:paraId="06766DD5" w14:textId="77777777" w:rsidR="00DE6DC0" w:rsidRPr="005A6DE4" w:rsidRDefault="00DE6DC0" w:rsidP="00DE6DC0">
            <w:pPr>
              <w:spacing w:before="120" w:after="120"/>
              <w:jc w:val="both"/>
              <w:outlineLvl w:val="2"/>
              <w:rPr>
                <w:rFonts w:ascii="Arial" w:eastAsia="Times New Roman" w:hAnsi="Arial" w:cs="Arial"/>
                <w:b/>
                <w:bCs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/>
                <w:bCs/>
                <w:szCs w:val="24"/>
                <w:lang w:eastAsia="pt-BR"/>
              </w:rPr>
              <w:lastRenderedPageBreak/>
              <w:t>Especificações mínimas exigidas:</w:t>
            </w:r>
          </w:p>
          <w:p w14:paraId="086041E6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Tensão: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18V ou superior</w:t>
            </w:r>
          </w:p>
          <w:p w14:paraId="6FCCCCE6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Alimentação: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Bateria de íons de lítio (mínimo 1 unidade inclusa)</w:t>
            </w:r>
          </w:p>
          <w:p w14:paraId="1EDD842D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Carregador: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Bivolt automático ou bivolt com seletor</w:t>
            </w:r>
          </w:p>
          <w:p w14:paraId="33246620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Modos de operação: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Parafusadeira e furadeira com função impacto</w:t>
            </w:r>
          </w:p>
          <w:p w14:paraId="166EA0CF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Velocidade variável e reversível</w:t>
            </w:r>
          </w:p>
          <w:p w14:paraId="2D1BEE1B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Mandril de aperto rápido (mínimo de 10mm de capacidade)</w:t>
            </w:r>
          </w:p>
          <w:p w14:paraId="238A5189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Torque ajustável com diferentes níveis de ajuste</w:t>
            </w:r>
          </w:p>
          <w:p w14:paraId="0C66B270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Iluminação LED integrada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para melhor visibilidade em ambientes de baixa luminosidade</w:t>
            </w:r>
          </w:p>
          <w:p w14:paraId="5AD838F8" w14:textId="77777777" w:rsidR="00DE6DC0" w:rsidRPr="005A6DE4" w:rsidRDefault="00DE6DC0" w:rsidP="00DE6DC0">
            <w:pPr>
              <w:numPr>
                <w:ilvl w:val="0"/>
                <w:numId w:val="1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Empunhadura ergonômica e antiderrapante</w:t>
            </w: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 para maior conforto e segurança</w:t>
            </w:r>
          </w:p>
          <w:p w14:paraId="340E6A78" w14:textId="77777777" w:rsidR="00DE6DC0" w:rsidRPr="005A6DE4" w:rsidRDefault="00DE6DC0" w:rsidP="00DE6DC0">
            <w:pPr>
              <w:spacing w:before="120" w:after="120"/>
              <w:jc w:val="both"/>
              <w:outlineLvl w:val="2"/>
              <w:rPr>
                <w:rFonts w:ascii="Arial" w:eastAsia="Times New Roman" w:hAnsi="Arial" w:cs="Arial"/>
                <w:b/>
                <w:bCs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/>
                <w:bCs/>
                <w:szCs w:val="24"/>
                <w:lang w:eastAsia="pt-BR"/>
              </w:rPr>
              <w:t>Acessórios mínimos exigidos na maleta:</w:t>
            </w:r>
          </w:p>
          <w:p w14:paraId="28175869" w14:textId="77777777" w:rsidR="00DE6DC0" w:rsidRPr="005A6DE4" w:rsidRDefault="00DE6DC0" w:rsidP="00DE6DC0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1 bateria de íons de lítio de 18V (ou superior)</w:t>
            </w:r>
          </w:p>
          <w:p w14:paraId="22A76D51" w14:textId="77777777" w:rsidR="00DE6DC0" w:rsidRPr="005A6DE4" w:rsidRDefault="00DE6DC0" w:rsidP="00DE6DC0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1 carregador bivolt</w:t>
            </w:r>
          </w:p>
          <w:p w14:paraId="0C19869C" w14:textId="77777777" w:rsidR="00DE6DC0" w:rsidRPr="005A6DE4" w:rsidRDefault="00DE6DC0" w:rsidP="00DE6DC0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1 jogo de brocas para madeira, metal e alvenaria (mínimo 6 peças)</w:t>
            </w:r>
          </w:p>
          <w:p w14:paraId="4A4DBB67" w14:textId="77777777" w:rsidR="00DE6DC0" w:rsidRPr="005A6DE4" w:rsidRDefault="00DE6DC0" w:rsidP="00DE6DC0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 xml:space="preserve">1 jogo de bits para </w:t>
            </w:r>
            <w:proofErr w:type="spellStart"/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parafusamento</w:t>
            </w:r>
            <w:proofErr w:type="spellEnd"/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 xml:space="preserve"> (mínimo 6 peças, incluindo Philips e fenda)</w:t>
            </w:r>
          </w:p>
          <w:p w14:paraId="231B491E" w14:textId="77777777" w:rsidR="00DE6DC0" w:rsidRPr="005A6DE4" w:rsidRDefault="00DE6DC0" w:rsidP="00DE6DC0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1 extensor magnético para bits</w:t>
            </w:r>
          </w:p>
          <w:p w14:paraId="68D0D08C" w14:textId="77777777" w:rsidR="00DE6DC0" w:rsidRPr="005A6DE4" w:rsidRDefault="00DE6DC0" w:rsidP="00DE6DC0">
            <w:pPr>
              <w:numPr>
                <w:ilvl w:val="0"/>
                <w:numId w:val="2"/>
              </w:numPr>
              <w:spacing w:before="120" w:after="120" w:line="276" w:lineRule="auto"/>
              <w:jc w:val="both"/>
              <w:rPr>
                <w:rFonts w:ascii="Arial" w:eastAsia="Times New Roman" w:hAnsi="Arial" w:cs="Arial"/>
                <w:szCs w:val="24"/>
                <w:lang w:eastAsia="pt-BR"/>
              </w:rPr>
            </w:pPr>
            <w:r w:rsidRPr="005A6DE4">
              <w:rPr>
                <w:rFonts w:ascii="Arial" w:eastAsia="Times New Roman" w:hAnsi="Arial" w:cs="Arial"/>
                <w:bCs/>
                <w:szCs w:val="24"/>
                <w:lang w:eastAsia="pt-BR"/>
              </w:rPr>
              <w:t>1 maleta rígida para armazenamento e transporte</w:t>
            </w:r>
          </w:p>
          <w:p w14:paraId="735D5029" w14:textId="2DDD8418" w:rsidR="00DE6DC0" w:rsidRPr="00290711" w:rsidRDefault="00DE6DC0" w:rsidP="00DE6DC0">
            <w:pPr>
              <w:rPr>
                <w:rFonts w:ascii="Arial" w:eastAsia="Arial" w:hAnsi="Arial" w:cs="Arial"/>
              </w:rPr>
            </w:pPr>
            <w:r w:rsidRPr="005A6DE4">
              <w:rPr>
                <w:rFonts w:ascii="Arial" w:eastAsia="Times New Roman" w:hAnsi="Arial" w:cs="Arial"/>
                <w:szCs w:val="24"/>
                <w:lang w:eastAsia="pt-BR"/>
              </w:rPr>
              <w:t xml:space="preserve">Marcas de referência: </w:t>
            </w:r>
            <w:r>
              <w:rPr>
                <w:rFonts w:ascii="Arial" w:eastAsia="Times New Roman" w:hAnsi="Arial" w:cs="Arial"/>
                <w:szCs w:val="24"/>
                <w:lang w:eastAsia="pt-BR"/>
              </w:rPr>
              <w:t xml:space="preserve">Bosch, </w:t>
            </w:r>
            <w:r>
              <w:rPr>
                <w:rFonts w:ascii="Arial" w:eastAsia="Times New Roman" w:hAnsi="Arial" w:cs="Arial"/>
                <w:bCs/>
                <w:szCs w:val="24"/>
                <w:lang w:eastAsia="pt-BR"/>
              </w:rPr>
              <w:t xml:space="preserve">Philco e </w:t>
            </w:r>
            <w:proofErr w:type="spellStart"/>
            <w:r>
              <w:rPr>
                <w:rFonts w:ascii="Arial" w:eastAsia="Times New Roman" w:hAnsi="Arial" w:cs="Arial"/>
                <w:bCs/>
                <w:szCs w:val="24"/>
                <w:lang w:eastAsia="pt-BR"/>
              </w:rPr>
              <w:t>Vonder</w:t>
            </w:r>
            <w:proofErr w:type="spellEnd"/>
            <w:r w:rsidRPr="005A6DE4">
              <w:rPr>
                <w:rFonts w:ascii="Arial" w:eastAsia="Times New Roman" w:hAnsi="Arial" w:cs="Arial"/>
                <w:b/>
                <w:bCs/>
                <w:szCs w:val="24"/>
                <w:lang w:eastAsia="pt-BR"/>
              </w:rPr>
              <w:t>,</w:t>
            </w:r>
            <w:r w:rsidRPr="005A6DE4">
              <w:rPr>
                <w:rFonts w:ascii="Arial" w:hAnsi="Arial" w:cs="Arial"/>
                <w:szCs w:val="24"/>
              </w:rPr>
              <w:t xml:space="preserve"> ou similares de qualidade igual ou superior.</w:t>
            </w:r>
          </w:p>
        </w:tc>
        <w:tc>
          <w:tcPr>
            <w:tcW w:w="1394" w:type="dxa"/>
          </w:tcPr>
          <w:p w14:paraId="5DD91C72" w14:textId="77777777" w:rsidR="00DE6DC0" w:rsidRPr="00CB5CBE" w:rsidRDefault="00DE6DC0" w:rsidP="00DE6DC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E6DC0" w:rsidRPr="00CB5CBE" w:rsidRDefault="00DE6DC0" w:rsidP="00DE6DC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D5259"/>
    <w:multiLevelType w:val="multilevel"/>
    <w:tmpl w:val="ABA8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385426"/>
    <w:multiLevelType w:val="multilevel"/>
    <w:tmpl w:val="0D32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1870772">
    <w:abstractNumId w:val="1"/>
  </w:num>
  <w:num w:numId="2" w16cid:durableId="5223316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4516C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77217"/>
    <w:rsid w:val="003945BC"/>
    <w:rsid w:val="003E5062"/>
    <w:rsid w:val="003F5DB7"/>
    <w:rsid w:val="004B60B4"/>
    <w:rsid w:val="004C1677"/>
    <w:rsid w:val="004C6A1E"/>
    <w:rsid w:val="004D0AF0"/>
    <w:rsid w:val="004E3F87"/>
    <w:rsid w:val="004E645C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5291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E6DC0"/>
    <w:rsid w:val="00DF055F"/>
    <w:rsid w:val="00DF5C0A"/>
    <w:rsid w:val="00E233FB"/>
    <w:rsid w:val="00E42241"/>
    <w:rsid w:val="00E6011D"/>
    <w:rsid w:val="00E60C0B"/>
    <w:rsid w:val="00E91C6F"/>
    <w:rsid w:val="00EA6DC1"/>
    <w:rsid w:val="00EB11E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uiPriority w:val="22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2025-04-14T19:40:00Z</dcterms:created>
  <dcterms:modified xsi:type="dcterms:W3CDTF">2025-04-14T19:40:00Z</dcterms:modified>
</cp:coreProperties>
</file>