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A110A9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6039BF">
                              <w:t>2011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A110A9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6039BF">
                        <w:t>2011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38D1AA37" w:rsidR="00A76EC2" w:rsidRPr="00A76EC2" w:rsidRDefault="006039BF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SV</w:t>
            </w:r>
          </w:p>
        </w:tc>
        <w:tc>
          <w:tcPr>
            <w:tcW w:w="735" w:type="dxa"/>
            <w:vAlign w:val="center"/>
          </w:tcPr>
          <w:p w14:paraId="2230500B" w14:textId="51F84C99" w:rsidR="00A76EC2" w:rsidRPr="00A76EC2" w:rsidRDefault="006039BF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327B819A" w14:textId="08A4E6A0" w:rsidR="00A76EC2" w:rsidRPr="002236E2" w:rsidRDefault="006039BF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277DE">
              <w:rPr>
                <w:rFonts w:ascii="Arial" w:hAnsi="Arial" w:cs="Arial"/>
              </w:rPr>
              <w:t>Contratação de empresa especializada na prestação de serviços de avaliação atuarial relativa ao ano base de 2024, e envio do DRAA 2025 ao Ministério do Regime Próprio de Previdência Social do Município de Piracanjuba, constituindo: Reavaliação Atuarial 2025; Projeção das Receitas e Despesas; Envios de fluxos Atuariais; Envio de Nota técnica; Envio do DRAA 2025; Mencionar o Relatório a análise crítica na base de dados e as notas explicativas atuarias; Estudo de Viabilidade Orçamentária e Financeira; Envio de Avaliação para o endereço de e-mail informado pelo Contratante; Apresentar ao Contratante resumo do trabalho realizado.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444E0C34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975C49D" w14:textId="61B0523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6049000" w14:textId="0282743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8154F74" w14:textId="0838B4F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76EC2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2025-06-11T19:38:00Z</dcterms:created>
  <dcterms:modified xsi:type="dcterms:W3CDTF">2025-06-11T19:38:00Z</dcterms:modified>
</cp:coreProperties>
</file>